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BE82" w14:textId="77777777" w:rsidR="00132D72" w:rsidRDefault="00132D72" w:rsidP="00132D72">
      <w:pPr>
        <w:pStyle w:val="Title"/>
        <w:rPr>
          <w:b/>
          <w:sz w:val="28"/>
        </w:rPr>
      </w:pPr>
      <w:r>
        <w:rPr>
          <w:b/>
          <w:sz w:val="28"/>
        </w:rPr>
        <w:t>Course Syllabus</w:t>
      </w:r>
    </w:p>
    <w:p w14:paraId="597553F2" w14:textId="6B5E7A33" w:rsidR="00132D72" w:rsidRDefault="00F061E1" w:rsidP="00132D72">
      <w:pPr>
        <w:jc w:val="center"/>
        <w:rPr>
          <w:b/>
          <w:sz w:val="28"/>
        </w:rPr>
      </w:pPr>
      <w:r>
        <w:rPr>
          <w:b/>
          <w:sz w:val="28"/>
        </w:rPr>
        <w:t>International Finance</w:t>
      </w:r>
    </w:p>
    <w:p w14:paraId="0014DCC7" w14:textId="14B848BE" w:rsidR="00F061E1" w:rsidRDefault="00F061E1" w:rsidP="00132D72">
      <w:pPr>
        <w:jc w:val="center"/>
        <w:rPr>
          <w:b/>
          <w:sz w:val="28"/>
        </w:rPr>
      </w:pPr>
      <w:r>
        <w:rPr>
          <w:b/>
          <w:sz w:val="28"/>
        </w:rPr>
        <w:t>Shanghai International Studies University (SISU)</w:t>
      </w:r>
    </w:p>
    <w:p w14:paraId="05225923" w14:textId="18E920A2" w:rsidR="00132D72" w:rsidRPr="002D3059" w:rsidRDefault="00F061E1" w:rsidP="002D3059">
      <w:pPr>
        <w:jc w:val="center"/>
        <w:rPr>
          <w:b/>
          <w:sz w:val="28"/>
        </w:rPr>
      </w:pPr>
      <w:r>
        <w:rPr>
          <w:b/>
          <w:sz w:val="28"/>
        </w:rPr>
        <w:t>Summer</w:t>
      </w:r>
      <w:r w:rsidR="00021586">
        <w:rPr>
          <w:b/>
          <w:sz w:val="28"/>
        </w:rPr>
        <w:t xml:space="preserve"> 20</w:t>
      </w:r>
      <w:r>
        <w:rPr>
          <w:b/>
          <w:sz w:val="28"/>
        </w:rPr>
        <w:t>24</w:t>
      </w:r>
    </w:p>
    <w:p w14:paraId="11C24E9D" w14:textId="77777777" w:rsidR="00132D72" w:rsidRDefault="00132D72" w:rsidP="00132D72">
      <w:pPr>
        <w:rPr>
          <w:sz w:val="24"/>
        </w:rPr>
      </w:pPr>
    </w:p>
    <w:p w14:paraId="664E87AB" w14:textId="77777777" w:rsidR="00132D72" w:rsidRDefault="00132D72" w:rsidP="00132D72">
      <w:pPr>
        <w:pStyle w:val="Heading1"/>
      </w:pPr>
      <w:r>
        <w:rPr>
          <w:b/>
        </w:rPr>
        <w:t>Course</w:t>
      </w:r>
      <w:r>
        <w:tab/>
      </w:r>
      <w:r>
        <w:tab/>
      </w:r>
      <w:r w:rsidR="00A91E57">
        <w:t>International Finance</w:t>
      </w:r>
    </w:p>
    <w:p w14:paraId="6DB79285" w14:textId="77777777" w:rsidR="00132D72" w:rsidRDefault="00132D72" w:rsidP="00132D72">
      <w:pPr>
        <w:rPr>
          <w:sz w:val="24"/>
        </w:rPr>
      </w:pPr>
    </w:p>
    <w:p w14:paraId="367CEBA2" w14:textId="77777777" w:rsidR="00132D72" w:rsidRDefault="00132D72" w:rsidP="000708FC">
      <w:pPr>
        <w:pStyle w:val="Heading1"/>
      </w:pPr>
      <w:r>
        <w:rPr>
          <w:b/>
        </w:rPr>
        <w:t>Professor</w:t>
      </w:r>
      <w:r>
        <w:tab/>
      </w:r>
      <w:r>
        <w:tab/>
        <w:t>Bill Reese</w:t>
      </w:r>
    </w:p>
    <w:p w14:paraId="71686E4E" w14:textId="77777777" w:rsidR="00132D72" w:rsidRDefault="00BF5568" w:rsidP="00132D72">
      <w:pPr>
        <w:rPr>
          <w:sz w:val="24"/>
        </w:rPr>
      </w:pPr>
      <w:r>
        <w:rPr>
          <w:sz w:val="24"/>
        </w:rPr>
        <w:tab/>
      </w:r>
      <w:r>
        <w:rPr>
          <w:sz w:val="24"/>
        </w:rPr>
        <w:tab/>
      </w:r>
      <w:r>
        <w:rPr>
          <w:sz w:val="24"/>
        </w:rPr>
        <w:tab/>
        <w:t xml:space="preserve">Office: Room </w:t>
      </w:r>
      <w:r w:rsidR="00AA2C53">
        <w:rPr>
          <w:sz w:val="24"/>
        </w:rPr>
        <w:t>604</w:t>
      </w:r>
    </w:p>
    <w:p w14:paraId="4E5C98FA" w14:textId="77777777" w:rsidR="00132D72" w:rsidRDefault="00132D72" w:rsidP="00132D72">
      <w:pPr>
        <w:rPr>
          <w:sz w:val="24"/>
        </w:rPr>
      </w:pPr>
      <w:r>
        <w:rPr>
          <w:sz w:val="24"/>
        </w:rPr>
        <w:tab/>
      </w:r>
      <w:r>
        <w:rPr>
          <w:sz w:val="24"/>
        </w:rPr>
        <w:tab/>
      </w:r>
      <w:r>
        <w:rPr>
          <w:sz w:val="24"/>
        </w:rPr>
        <w:tab/>
        <w:t>Office Phone: 865-5465</w:t>
      </w:r>
    </w:p>
    <w:p w14:paraId="5165855D" w14:textId="77777777" w:rsidR="00132D72" w:rsidRDefault="00132D72" w:rsidP="00132D72">
      <w:pPr>
        <w:rPr>
          <w:sz w:val="24"/>
        </w:rPr>
      </w:pPr>
      <w:r>
        <w:rPr>
          <w:sz w:val="24"/>
        </w:rPr>
        <w:tab/>
      </w:r>
      <w:r>
        <w:rPr>
          <w:sz w:val="24"/>
        </w:rPr>
        <w:tab/>
      </w:r>
      <w:r>
        <w:rPr>
          <w:sz w:val="24"/>
        </w:rPr>
        <w:tab/>
        <w:t xml:space="preserve">E-mail: </w:t>
      </w:r>
      <w:r w:rsidR="00A17843">
        <w:rPr>
          <w:sz w:val="24"/>
        </w:rPr>
        <w:t>wreese@t</w:t>
      </w:r>
      <w:r>
        <w:rPr>
          <w:sz w:val="24"/>
        </w:rPr>
        <w:t>ulane.edu</w:t>
      </w:r>
    </w:p>
    <w:p w14:paraId="7DC9DADE" w14:textId="77777777" w:rsidR="00D51586" w:rsidRDefault="00D51586" w:rsidP="000708FC">
      <w:pPr>
        <w:rPr>
          <w:sz w:val="24"/>
          <w:szCs w:val="24"/>
        </w:rPr>
      </w:pPr>
    </w:p>
    <w:p w14:paraId="43DE6611" w14:textId="7209BE96" w:rsidR="00477BAB" w:rsidRDefault="00477BAB" w:rsidP="00477BAB">
      <w:pPr>
        <w:pStyle w:val="BodyTextIndent2"/>
      </w:pPr>
      <w:r>
        <w:rPr>
          <w:b/>
        </w:rPr>
        <w:t>Objectives</w:t>
      </w:r>
      <w:r>
        <w:t xml:space="preserve">: </w:t>
      </w:r>
      <w:r>
        <w:tab/>
        <w:t xml:space="preserve">The </w:t>
      </w:r>
      <w:r w:rsidR="003E6207">
        <w:t xml:space="preserve">primary objective of this course is to provide students with a solid understanding of the basic principles of international finance. Emphasis will be placed on understanding the role of exchange rates in the global economy as well as how individual firms can obtain financing, make capital budgeting decisions, and minimize risk in a global environment. </w:t>
      </w:r>
      <w:r>
        <w:t xml:space="preserve"> </w:t>
      </w:r>
    </w:p>
    <w:p w14:paraId="45FE77E9" w14:textId="77777777" w:rsidR="00564576" w:rsidRDefault="00564576" w:rsidP="00132D72">
      <w:pPr>
        <w:pStyle w:val="BodyTextIndent2"/>
      </w:pPr>
    </w:p>
    <w:p w14:paraId="2F8E1A55" w14:textId="1D9077D3" w:rsidR="007C60B0" w:rsidRDefault="00F061E1" w:rsidP="00B22D0A">
      <w:pPr>
        <w:ind w:left="2160" w:hanging="2160"/>
        <w:rPr>
          <w:sz w:val="24"/>
        </w:rPr>
      </w:pPr>
      <w:r>
        <w:rPr>
          <w:b/>
          <w:sz w:val="24"/>
        </w:rPr>
        <w:t>Structure</w:t>
      </w:r>
      <w:r w:rsidR="007C60B0">
        <w:rPr>
          <w:sz w:val="24"/>
        </w:rPr>
        <w:tab/>
      </w:r>
      <w:r>
        <w:rPr>
          <w:sz w:val="24"/>
        </w:rPr>
        <w:t xml:space="preserve">Since this is a non-credit course, there will be no tests and no grades. This will just be about you learning what is interesting and important to you. </w:t>
      </w:r>
      <w:r w:rsidR="00CA3621">
        <w:rPr>
          <w:sz w:val="24"/>
        </w:rPr>
        <w:t>The first three days of class will be primarily instruction, where I will present the fundamental principles of International Finance. The final two days will mostly be spent on an analysis of several different Harvard Case Studies in which you will be able to apply much of what you have learned to real situations.</w:t>
      </w:r>
    </w:p>
    <w:p w14:paraId="7994EA38" w14:textId="02E2CF36" w:rsidR="004C7F1B" w:rsidRDefault="004C7F1B" w:rsidP="00CA3621">
      <w:pPr>
        <w:rPr>
          <w:b/>
          <w:sz w:val="24"/>
        </w:rPr>
      </w:pPr>
    </w:p>
    <w:p w14:paraId="60EA6126" w14:textId="7793BA2D" w:rsidR="004C7F1B" w:rsidRDefault="004C7F1B" w:rsidP="004C7F1B">
      <w:pPr>
        <w:ind w:left="2160" w:hanging="2160"/>
        <w:rPr>
          <w:sz w:val="24"/>
        </w:rPr>
      </w:pPr>
      <w:r>
        <w:rPr>
          <w:b/>
          <w:sz w:val="24"/>
        </w:rPr>
        <w:t>Cases</w:t>
      </w:r>
      <w:r w:rsidR="007C60B0">
        <w:rPr>
          <w:sz w:val="24"/>
        </w:rPr>
        <w:tab/>
      </w:r>
      <w:r w:rsidR="00CA3621">
        <w:rPr>
          <w:sz w:val="24"/>
        </w:rPr>
        <w:t xml:space="preserve">Everyone should read each case prior to the start of this course. There won’t be time to read them during our week of classes. </w:t>
      </w:r>
      <w:r w:rsidR="00B22D0A">
        <w:rPr>
          <w:sz w:val="24"/>
        </w:rPr>
        <w:t xml:space="preserve">On the first day of class, I will divide you into six groups. Each group will be responsible for presenting one of the cases (other than Foreign Exchange Markets and Transactions). </w:t>
      </w:r>
      <w:r w:rsidR="00CA3621">
        <w:rPr>
          <w:sz w:val="24"/>
        </w:rPr>
        <w:t xml:space="preserve">I will give </w:t>
      </w:r>
      <w:r w:rsidR="00B22D0A">
        <w:rPr>
          <w:sz w:val="24"/>
        </w:rPr>
        <w:t>each group</w:t>
      </w:r>
      <w:r w:rsidR="00CA3621">
        <w:rPr>
          <w:sz w:val="24"/>
        </w:rPr>
        <w:t xml:space="preserve"> some questions to answer for each case. You should answer these questions to the best of your ability, but they will not be graded. </w:t>
      </w:r>
    </w:p>
    <w:p w14:paraId="1A9DE3EC" w14:textId="77777777" w:rsidR="00410881" w:rsidRDefault="00410881" w:rsidP="004C7F1B">
      <w:pPr>
        <w:ind w:left="2160" w:hanging="2160"/>
        <w:rPr>
          <w:sz w:val="24"/>
        </w:rPr>
      </w:pPr>
    </w:p>
    <w:p w14:paraId="363D848A" w14:textId="77777777" w:rsidR="00410881" w:rsidRDefault="00410881" w:rsidP="00410881">
      <w:pPr>
        <w:numPr>
          <w:ilvl w:val="3"/>
          <w:numId w:val="1"/>
        </w:numPr>
        <w:rPr>
          <w:sz w:val="24"/>
        </w:rPr>
      </w:pPr>
      <w:r>
        <w:rPr>
          <w:sz w:val="24"/>
        </w:rPr>
        <w:t>Dozier Industries – Harvard case F-163</w:t>
      </w:r>
    </w:p>
    <w:p w14:paraId="22B1BAB9" w14:textId="77777777" w:rsidR="00410881" w:rsidRPr="004C7F1B" w:rsidRDefault="00410881" w:rsidP="00410881">
      <w:pPr>
        <w:numPr>
          <w:ilvl w:val="3"/>
          <w:numId w:val="1"/>
        </w:numPr>
        <w:rPr>
          <w:sz w:val="24"/>
        </w:rPr>
      </w:pPr>
      <w:r>
        <w:rPr>
          <w:sz w:val="24"/>
        </w:rPr>
        <w:t>The Walt Disney Company’s Yen Financing – Harvard case 9-287-058</w:t>
      </w:r>
    </w:p>
    <w:p w14:paraId="175503C8" w14:textId="77777777" w:rsidR="00FA4189" w:rsidRDefault="00FA4189" w:rsidP="00FA4189">
      <w:pPr>
        <w:numPr>
          <w:ilvl w:val="3"/>
          <w:numId w:val="2"/>
        </w:numPr>
        <w:rPr>
          <w:sz w:val="24"/>
        </w:rPr>
      </w:pPr>
      <w:r>
        <w:rPr>
          <w:sz w:val="24"/>
        </w:rPr>
        <w:t>Carrefour S.A. – Darden case UV0283</w:t>
      </w:r>
    </w:p>
    <w:p w14:paraId="337EC874" w14:textId="77777777" w:rsidR="00463EFB" w:rsidRDefault="00463EFB" w:rsidP="00FA4189">
      <w:pPr>
        <w:numPr>
          <w:ilvl w:val="3"/>
          <w:numId w:val="2"/>
        </w:numPr>
        <w:rPr>
          <w:sz w:val="24"/>
        </w:rPr>
      </w:pPr>
      <w:r>
        <w:rPr>
          <w:sz w:val="24"/>
        </w:rPr>
        <w:t>Emerson Electric Company – Darden case UV2151</w:t>
      </w:r>
    </w:p>
    <w:p w14:paraId="21DCD7D8" w14:textId="77777777" w:rsidR="00463EFB" w:rsidRDefault="00463EFB" w:rsidP="00FA4189">
      <w:pPr>
        <w:numPr>
          <w:ilvl w:val="3"/>
          <w:numId w:val="2"/>
        </w:numPr>
        <w:rPr>
          <w:sz w:val="24"/>
        </w:rPr>
      </w:pPr>
      <w:r>
        <w:rPr>
          <w:sz w:val="24"/>
        </w:rPr>
        <w:t>Diva Shoes, Inc. – Darden case UV0265</w:t>
      </w:r>
    </w:p>
    <w:p w14:paraId="5D0F2B7C" w14:textId="63B6A807" w:rsidR="00B22D0A" w:rsidRDefault="00B22D0A" w:rsidP="00FA4189">
      <w:pPr>
        <w:numPr>
          <w:ilvl w:val="3"/>
          <w:numId w:val="2"/>
        </w:numPr>
        <w:rPr>
          <w:sz w:val="24"/>
        </w:rPr>
      </w:pPr>
      <w:r>
        <w:rPr>
          <w:sz w:val="24"/>
        </w:rPr>
        <w:t>Ibersnacks, S.A. IESE case IES017</w:t>
      </w:r>
    </w:p>
    <w:p w14:paraId="7FD16853" w14:textId="4E7152D1" w:rsidR="00B22D0A" w:rsidRDefault="00B22D0A" w:rsidP="00FA4189">
      <w:pPr>
        <w:numPr>
          <w:ilvl w:val="3"/>
          <w:numId w:val="2"/>
        </w:numPr>
        <w:rPr>
          <w:sz w:val="24"/>
        </w:rPr>
      </w:pPr>
      <w:r>
        <w:rPr>
          <w:sz w:val="24"/>
        </w:rPr>
        <w:t>Foreign Exchange Markets and Transactions – Harvard case 9-205-016</w:t>
      </w:r>
    </w:p>
    <w:p w14:paraId="30513ACF" w14:textId="77777777" w:rsidR="007C60B0" w:rsidRDefault="007C60B0" w:rsidP="007C60B0">
      <w:pPr>
        <w:ind w:left="2160" w:hanging="2160"/>
        <w:rPr>
          <w:sz w:val="24"/>
        </w:rPr>
      </w:pPr>
    </w:p>
    <w:p w14:paraId="520A6D55" w14:textId="77777777" w:rsidR="00E14D8F" w:rsidRDefault="00E14D8F" w:rsidP="00132D72">
      <w:pPr>
        <w:rPr>
          <w:b/>
          <w:sz w:val="24"/>
        </w:rPr>
      </w:pPr>
    </w:p>
    <w:p w14:paraId="751143A5" w14:textId="77777777" w:rsidR="00132D72" w:rsidRDefault="00132D72" w:rsidP="00132D72">
      <w:pPr>
        <w:rPr>
          <w:sz w:val="24"/>
        </w:rPr>
      </w:pPr>
      <w:r>
        <w:rPr>
          <w:b/>
          <w:sz w:val="24"/>
        </w:rPr>
        <w:lastRenderedPageBreak/>
        <w:t>Website</w:t>
      </w:r>
      <w:r>
        <w:rPr>
          <w:sz w:val="24"/>
        </w:rPr>
        <w:tab/>
      </w:r>
      <w:r>
        <w:rPr>
          <w:sz w:val="24"/>
        </w:rPr>
        <w:tab/>
        <w:t xml:space="preserve">I will be maintaining a website for this course at </w:t>
      </w:r>
    </w:p>
    <w:p w14:paraId="325D151E" w14:textId="77777777" w:rsidR="00FC7FA5" w:rsidRDefault="00000000" w:rsidP="00132D72">
      <w:pPr>
        <w:ind w:left="2160"/>
      </w:pPr>
      <w:hyperlink r:id="rId6" w:history="1">
        <w:r w:rsidR="00FC7FA5" w:rsidRPr="00FC7FA5">
          <w:rPr>
            <w:rStyle w:val="Hyperlink"/>
            <w:sz w:val="24"/>
            <w:szCs w:val="24"/>
          </w:rPr>
          <w:t>https://breesefine7150.tulane.edu/</w:t>
        </w:r>
      </w:hyperlink>
      <w:r w:rsidR="00FC7FA5">
        <w:t xml:space="preserve"> </w:t>
      </w:r>
    </w:p>
    <w:p w14:paraId="37FFE343" w14:textId="77777777" w:rsidR="00132D72" w:rsidRDefault="00132D72" w:rsidP="00132D72">
      <w:pPr>
        <w:ind w:left="2160"/>
        <w:rPr>
          <w:sz w:val="24"/>
        </w:rPr>
      </w:pPr>
      <w:r>
        <w:rPr>
          <w:sz w:val="24"/>
        </w:rPr>
        <w:t>On it, I will be posting announcements that you will want to read,</w:t>
      </w:r>
    </w:p>
    <w:p w14:paraId="6EBE4021" w14:textId="7CD30BDA" w:rsidR="00132D72" w:rsidRDefault="00132D72" w:rsidP="00132D72">
      <w:pPr>
        <w:pStyle w:val="BodyTextIndent"/>
      </w:pPr>
      <w:r>
        <w:t xml:space="preserve">class notes, </w:t>
      </w:r>
      <w:r w:rsidR="0046102B">
        <w:t xml:space="preserve">case information </w:t>
      </w:r>
      <w:r>
        <w:t xml:space="preserve">and other worthwhile information. I strongly encourage you to visit the website regularly to keep up with what’s going on in class. </w:t>
      </w:r>
    </w:p>
    <w:p w14:paraId="13AF1413" w14:textId="77777777" w:rsidR="00CE6173" w:rsidRDefault="00CE6173" w:rsidP="00132D72">
      <w:pPr>
        <w:pStyle w:val="BodyTextIndent"/>
      </w:pPr>
    </w:p>
    <w:p w14:paraId="3EA1C789" w14:textId="77777777" w:rsidR="007C60B0" w:rsidRDefault="007C60B0" w:rsidP="0046102B">
      <w:pPr>
        <w:rPr>
          <w:b/>
          <w:sz w:val="24"/>
          <w:szCs w:val="24"/>
        </w:rPr>
      </w:pPr>
    </w:p>
    <w:p w14:paraId="5F70BA2B" w14:textId="5D7F6DE8" w:rsidR="00132D72" w:rsidRPr="007C3C4B" w:rsidRDefault="00132D72" w:rsidP="00132D72">
      <w:pPr>
        <w:ind w:left="2160" w:hanging="2160"/>
        <w:rPr>
          <w:sz w:val="24"/>
          <w:szCs w:val="24"/>
        </w:rPr>
      </w:pPr>
      <w:r>
        <w:rPr>
          <w:b/>
          <w:sz w:val="24"/>
          <w:szCs w:val="24"/>
        </w:rPr>
        <w:t>Laptops</w:t>
      </w:r>
      <w:r w:rsidRPr="007C3C4B">
        <w:rPr>
          <w:sz w:val="24"/>
          <w:szCs w:val="24"/>
        </w:rPr>
        <w:tab/>
      </w:r>
      <w:r>
        <w:rPr>
          <w:sz w:val="24"/>
          <w:szCs w:val="24"/>
        </w:rPr>
        <w:t xml:space="preserve">Laptops may be </w:t>
      </w:r>
      <w:r w:rsidR="003339A2">
        <w:rPr>
          <w:sz w:val="24"/>
          <w:szCs w:val="24"/>
        </w:rPr>
        <w:t>used during class to take notes and to</w:t>
      </w:r>
      <w:r>
        <w:rPr>
          <w:sz w:val="24"/>
          <w:szCs w:val="24"/>
        </w:rPr>
        <w:t xml:space="preserve"> work through E</w:t>
      </w:r>
      <w:r w:rsidR="003339A2">
        <w:rPr>
          <w:sz w:val="24"/>
          <w:szCs w:val="24"/>
        </w:rPr>
        <w:t xml:space="preserve">xcel problems we are doing. </w:t>
      </w:r>
      <w:r>
        <w:rPr>
          <w:sz w:val="24"/>
          <w:szCs w:val="24"/>
        </w:rPr>
        <w:t xml:space="preserve"> </w:t>
      </w:r>
      <w:r w:rsidR="006F3B1D">
        <w:rPr>
          <w:sz w:val="24"/>
          <w:szCs w:val="24"/>
        </w:rPr>
        <w:t>Please don’t use them</w:t>
      </w:r>
      <w:r>
        <w:rPr>
          <w:sz w:val="24"/>
          <w:szCs w:val="24"/>
        </w:rPr>
        <w:t xml:space="preserve"> for web surfing, emailing, messaging or anything not directly related to what we are </w:t>
      </w:r>
      <w:r w:rsidR="006F3B1D">
        <w:rPr>
          <w:sz w:val="24"/>
          <w:szCs w:val="24"/>
        </w:rPr>
        <w:t>learning</w:t>
      </w:r>
      <w:r>
        <w:rPr>
          <w:sz w:val="24"/>
          <w:szCs w:val="24"/>
        </w:rPr>
        <w:t xml:space="preserve"> at that moment. </w:t>
      </w:r>
    </w:p>
    <w:p w14:paraId="02A2F6F1" w14:textId="77777777" w:rsidR="003C0428" w:rsidRDefault="003C0428" w:rsidP="0046102B">
      <w:pPr>
        <w:rPr>
          <w:b/>
          <w:sz w:val="24"/>
          <w:szCs w:val="24"/>
        </w:rPr>
      </w:pPr>
    </w:p>
    <w:p w14:paraId="11FC5ADA" w14:textId="77777777" w:rsidR="001A1421" w:rsidRDefault="001A1421" w:rsidP="00132D72">
      <w:pPr>
        <w:pStyle w:val="BodyTextIndent"/>
        <w:ind w:left="0"/>
      </w:pPr>
    </w:p>
    <w:p w14:paraId="1B69E06C" w14:textId="45E3D12D" w:rsidR="006F3B1D" w:rsidRPr="007C3C4B" w:rsidRDefault="006F3B1D" w:rsidP="006F3B1D">
      <w:pPr>
        <w:ind w:left="2160" w:hanging="2160"/>
        <w:rPr>
          <w:sz w:val="24"/>
          <w:szCs w:val="24"/>
        </w:rPr>
      </w:pPr>
      <w:r>
        <w:rPr>
          <w:b/>
          <w:sz w:val="24"/>
          <w:szCs w:val="24"/>
        </w:rPr>
        <w:t>Perspective</w:t>
      </w:r>
      <w:r w:rsidRPr="007C3C4B">
        <w:rPr>
          <w:sz w:val="24"/>
          <w:szCs w:val="24"/>
        </w:rPr>
        <w:tab/>
      </w:r>
      <w:r>
        <w:rPr>
          <w:sz w:val="24"/>
          <w:szCs w:val="24"/>
        </w:rPr>
        <w:t>The material you will be learning in this class will be applicable to anyone in any country. However, since we will be in the U.S., the cases are written from a U.S. perspective, and my education and experience has been entirely in the U.S., it will be taught from a U.S. perspective.</w:t>
      </w:r>
      <w:r>
        <w:rPr>
          <w:sz w:val="24"/>
          <w:szCs w:val="24"/>
        </w:rPr>
        <w:t xml:space="preserve"> </w:t>
      </w:r>
    </w:p>
    <w:p w14:paraId="193617CB" w14:textId="77777777" w:rsidR="00A27220" w:rsidRDefault="00A27220" w:rsidP="00132D72">
      <w:pPr>
        <w:pStyle w:val="BodyTextIndent"/>
        <w:ind w:left="0"/>
      </w:pPr>
    </w:p>
    <w:p w14:paraId="4B3B7BDF" w14:textId="77777777" w:rsidR="00A27220" w:rsidRDefault="00A27220" w:rsidP="00132D72">
      <w:pPr>
        <w:pStyle w:val="BodyTextIndent"/>
        <w:ind w:left="0"/>
      </w:pPr>
    </w:p>
    <w:p w14:paraId="440BEB89" w14:textId="77777777" w:rsidR="00A27220" w:rsidRDefault="00A27220" w:rsidP="00132D72">
      <w:pPr>
        <w:pStyle w:val="BodyTextIndent"/>
        <w:ind w:left="0"/>
      </w:pPr>
    </w:p>
    <w:p w14:paraId="1857B23A" w14:textId="77777777" w:rsidR="00A27220" w:rsidRDefault="00A27220" w:rsidP="00132D72">
      <w:pPr>
        <w:pStyle w:val="BodyTextIndent"/>
        <w:ind w:left="0"/>
      </w:pPr>
    </w:p>
    <w:p w14:paraId="775D0B2C" w14:textId="77777777" w:rsidR="00A27220" w:rsidRDefault="00A27220" w:rsidP="00132D72">
      <w:pPr>
        <w:pStyle w:val="BodyTextIndent"/>
        <w:ind w:left="0"/>
      </w:pPr>
    </w:p>
    <w:p w14:paraId="7272447C" w14:textId="77777777" w:rsidR="003339A2" w:rsidRDefault="003339A2" w:rsidP="009D25EA">
      <w:pPr>
        <w:pStyle w:val="Title"/>
        <w:sectPr w:rsidR="003339A2" w:rsidSect="00C73EDE">
          <w:pgSz w:w="12240" w:h="15840"/>
          <w:pgMar w:top="1440" w:right="1440" w:bottom="1440" w:left="1440" w:header="720" w:footer="720" w:gutter="0"/>
          <w:cols w:space="720"/>
          <w:docGrid w:linePitch="360"/>
        </w:sectPr>
      </w:pPr>
    </w:p>
    <w:p w14:paraId="24BA3013" w14:textId="77777777" w:rsidR="009D25EA" w:rsidRDefault="009D25EA" w:rsidP="009D25EA">
      <w:pPr>
        <w:pStyle w:val="Title"/>
        <w:rPr>
          <w:b/>
          <w:sz w:val="28"/>
        </w:rPr>
      </w:pPr>
      <w:r>
        <w:rPr>
          <w:b/>
          <w:sz w:val="28"/>
        </w:rPr>
        <w:lastRenderedPageBreak/>
        <w:t>Tentative Schedule</w:t>
      </w:r>
      <w:r w:rsidR="00EB1F7C">
        <w:rPr>
          <w:b/>
          <w:sz w:val="28"/>
        </w:rPr>
        <w:t xml:space="preserve"> </w:t>
      </w:r>
    </w:p>
    <w:p w14:paraId="15D31974" w14:textId="77777777" w:rsidR="009D25EA" w:rsidRDefault="009D25EA" w:rsidP="009D25EA">
      <w:pPr>
        <w:jc w:val="center"/>
        <w:rPr>
          <w:sz w:val="28"/>
        </w:rPr>
      </w:pPr>
    </w:p>
    <w:tbl>
      <w:tblPr>
        <w:tblW w:w="8928" w:type="dxa"/>
        <w:tblBorders>
          <w:top w:val="single" w:sz="12" w:space="0" w:color="000000"/>
          <w:bottom w:val="single" w:sz="12" w:space="0" w:color="000000"/>
          <w:insideH w:val="single" w:sz="6" w:space="0" w:color="000000"/>
        </w:tblBorders>
        <w:tblLayout w:type="fixed"/>
        <w:tblLook w:val="00A0" w:firstRow="1" w:lastRow="0" w:firstColumn="1" w:lastColumn="0" w:noHBand="0" w:noVBand="0"/>
      </w:tblPr>
      <w:tblGrid>
        <w:gridCol w:w="1458"/>
        <w:gridCol w:w="7470"/>
      </w:tblGrid>
      <w:tr w:rsidR="00294BEA" w:rsidRPr="000F45BF" w14:paraId="2814802B" w14:textId="77777777" w:rsidTr="000767C1">
        <w:tc>
          <w:tcPr>
            <w:tcW w:w="1458" w:type="dxa"/>
            <w:tcBorders>
              <w:bottom w:val="single" w:sz="12" w:space="0" w:color="000000"/>
            </w:tcBorders>
            <w:shd w:val="clear" w:color="auto" w:fill="auto"/>
          </w:tcPr>
          <w:p w14:paraId="5E8434BB" w14:textId="142E7E1A" w:rsidR="00294BEA" w:rsidRPr="000F45BF" w:rsidRDefault="00294BEA" w:rsidP="000767C1">
            <w:pPr>
              <w:ind w:right="-108"/>
              <w:jc w:val="center"/>
              <w:rPr>
                <w:b/>
                <w:bCs/>
                <w:sz w:val="24"/>
              </w:rPr>
            </w:pPr>
            <w:r>
              <w:rPr>
                <w:b/>
                <w:bCs/>
                <w:sz w:val="24"/>
              </w:rPr>
              <w:t>Da</w:t>
            </w:r>
            <w:r w:rsidR="006F3B1D">
              <w:rPr>
                <w:b/>
                <w:bCs/>
                <w:sz w:val="24"/>
              </w:rPr>
              <w:t>y</w:t>
            </w:r>
          </w:p>
        </w:tc>
        <w:tc>
          <w:tcPr>
            <w:tcW w:w="7470" w:type="dxa"/>
            <w:tcBorders>
              <w:bottom w:val="single" w:sz="12" w:space="0" w:color="000000"/>
            </w:tcBorders>
            <w:shd w:val="clear" w:color="auto" w:fill="auto"/>
          </w:tcPr>
          <w:p w14:paraId="10E7CF9D" w14:textId="77777777" w:rsidR="00294BEA" w:rsidRPr="000F45BF" w:rsidRDefault="00294BEA" w:rsidP="00294BEA">
            <w:pPr>
              <w:jc w:val="center"/>
              <w:rPr>
                <w:b/>
                <w:bCs/>
                <w:sz w:val="24"/>
              </w:rPr>
            </w:pPr>
            <w:r>
              <w:rPr>
                <w:b/>
                <w:bCs/>
                <w:sz w:val="24"/>
              </w:rPr>
              <w:t>Material to be Covered in Class</w:t>
            </w:r>
          </w:p>
        </w:tc>
      </w:tr>
      <w:tr w:rsidR="00294BEA" w14:paraId="3027C802" w14:textId="77777777" w:rsidTr="000767C1">
        <w:tc>
          <w:tcPr>
            <w:tcW w:w="1458" w:type="dxa"/>
            <w:shd w:val="clear" w:color="auto" w:fill="auto"/>
          </w:tcPr>
          <w:p w14:paraId="3585CC0F" w14:textId="64A4B0D1" w:rsidR="00A27220" w:rsidRDefault="006F3B1D" w:rsidP="00294BEA">
            <w:pPr>
              <w:jc w:val="center"/>
              <w:rPr>
                <w:sz w:val="24"/>
              </w:rPr>
            </w:pPr>
            <w:r>
              <w:rPr>
                <w:sz w:val="24"/>
              </w:rPr>
              <w:t>Monday</w:t>
            </w:r>
          </w:p>
          <w:p w14:paraId="68F23E81" w14:textId="77777777" w:rsidR="00294BEA" w:rsidRPr="000F45BF" w:rsidRDefault="00294BEA" w:rsidP="00294BEA">
            <w:pPr>
              <w:jc w:val="center"/>
              <w:rPr>
                <w:sz w:val="24"/>
              </w:rPr>
            </w:pPr>
          </w:p>
        </w:tc>
        <w:tc>
          <w:tcPr>
            <w:tcW w:w="7470" w:type="dxa"/>
            <w:shd w:val="clear" w:color="auto" w:fill="auto"/>
          </w:tcPr>
          <w:p w14:paraId="3054B9A6" w14:textId="77777777" w:rsidR="000767C1" w:rsidRDefault="00294BEA" w:rsidP="00106AE3">
            <w:pPr>
              <w:rPr>
                <w:sz w:val="24"/>
              </w:rPr>
            </w:pPr>
            <w:r>
              <w:rPr>
                <w:sz w:val="24"/>
              </w:rPr>
              <w:t>Introduction</w:t>
            </w:r>
            <w:r w:rsidR="000767C1">
              <w:rPr>
                <w:sz w:val="24"/>
              </w:rPr>
              <w:t xml:space="preserve"> </w:t>
            </w:r>
          </w:p>
          <w:p w14:paraId="3D62E687" w14:textId="77777777" w:rsidR="00760C6B" w:rsidRDefault="00294BEA" w:rsidP="00106AE3">
            <w:pPr>
              <w:rPr>
                <w:sz w:val="24"/>
              </w:rPr>
            </w:pPr>
            <w:r>
              <w:rPr>
                <w:sz w:val="24"/>
              </w:rPr>
              <w:t>Overview/History</w:t>
            </w:r>
          </w:p>
          <w:p w14:paraId="16329EFD" w14:textId="70E7A6D8" w:rsidR="00A27220" w:rsidRDefault="00A27220" w:rsidP="00387741">
            <w:pPr>
              <w:rPr>
                <w:sz w:val="24"/>
              </w:rPr>
            </w:pPr>
            <w:r>
              <w:rPr>
                <w:sz w:val="24"/>
              </w:rPr>
              <w:t>International Trade</w:t>
            </w:r>
          </w:p>
          <w:p w14:paraId="3808A211" w14:textId="198C7374" w:rsidR="006F3B1D" w:rsidRDefault="006F3B1D" w:rsidP="00387741">
            <w:pPr>
              <w:rPr>
                <w:sz w:val="24"/>
              </w:rPr>
            </w:pPr>
            <w:r>
              <w:rPr>
                <w:sz w:val="24"/>
              </w:rPr>
              <w:t>The U.S. Federal Reserve</w:t>
            </w:r>
          </w:p>
          <w:p w14:paraId="0F3F1F0B" w14:textId="77777777" w:rsidR="006F3B1D" w:rsidRDefault="006F3B1D" w:rsidP="006F3B1D">
            <w:pPr>
              <w:rPr>
                <w:sz w:val="24"/>
              </w:rPr>
            </w:pPr>
            <w:r>
              <w:rPr>
                <w:sz w:val="24"/>
              </w:rPr>
              <w:t>Exchange Rates</w:t>
            </w:r>
          </w:p>
          <w:p w14:paraId="0396A6AB" w14:textId="77777777" w:rsidR="006F3B1D" w:rsidRDefault="006F3B1D" w:rsidP="006F3B1D">
            <w:pPr>
              <w:rPr>
                <w:sz w:val="24"/>
              </w:rPr>
            </w:pPr>
            <w:r>
              <w:rPr>
                <w:sz w:val="24"/>
              </w:rPr>
              <w:t>Forward Rates</w:t>
            </w:r>
          </w:p>
          <w:p w14:paraId="45848E0A" w14:textId="77777777" w:rsidR="006F3B1D" w:rsidRDefault="006F3B1D" w:rsidP="006F3B1D">
            <w:pPr>
              <w:rPr>
                <w:sz w:val="24"/>
              </w:rPr>
            </w:pPr>
            <w:r>
              <w:rPr>
                <w:sz w:val="24"/>
              </w:rPr>
              <w:t>Interest Rate Parity</w:t>
            </w:r>
          </w:p>
          <w:p w14:paraId="2F0A1080" w14:textId="77777777" w:rsidR="003339A2" w:rsidRPr="000F45BF" w:rsidRDefault="003339A2" w:rsidP="00387741">
            <w:pPr>
              <w:rPr>
                <w:sz w:val="24"/>
              </w:rPr>
            </w:pPr>
          </w:p>
        </w:tc>
      </w:tr>
      <w:tr w:rsidR="00294BEA" w14:paraId="1C0842FD" w14:textId="77777777" w:rsidTr="000767C1">
        <w:tc>
          <w:tcPr>
            <w:tcW w:w="1458" w:type="dxa"/>
            <w:shd w:val="clear" w:color="auto" w:fill="auto"/>
          </w:tcPr>
          <w:p w14:paraId="3F3C7F8E" w14:textId="73EBEBA7" w:rsidR="00A27220" w:rsidRDefault="006F3B1D" w:rsidP="00294BEA">
            <w:pPr>
              <w:jc w:val="center"/>
              <w:rPr>
                <w:sz w:val="24"/>
              </w:rPr>
            </w:pPr>
            <w:r>
              <w:rPr>
                <w:sz w:val="24"/>
              </w:rPr>
              <w:t>Tuesday</w:t>
            </w:r>
          </w:p>
          <w:p w14:paraId="0EF64AB9" w14:textId="77777777" w:rsidR="00294BEA" w:rsidRPr="000F45BF" w:rsidRDefault="00294BEA" w:rsidP="00294BEA">
            <w:pPr>
              <w:jc w:val="center"/>
              <w:rPr>
                <w:sz w:val="24"/>
              </w:rPr>
            </w:pPr>
          </w:p>
        </w:tc>
        <w:tc>
          <w:tcPr>
            <w:tcW w:w="7470" w:type="dxa"/>
            <w:shd w:val="clear" w:color="auto" w:fill="auto"/>
          </w:tcPr>
          <w:p w14:paraId="199D5069" w14:textId="77777777" w:rsidR="00FC7FA5" w:rsidRDefault="00FC7FA5" w:rsidP="00FC7FA5">
            <w:pPr>
              <w:rPr>
                <w:sz w:val="24"/>
              </w:rPr>
            </w:pPr>
            <w:r>
              <w:rPr>
                <w:sz w:val="24"/>
              </w:rPr>
              <w:t>Triangular Arbitrage</w:t>
            </w:r>
          </w:p>
          <w:p w14:paraId="43227E46" w14:textId="77777777" w:rsidR="00FC7FA5" w:rsidRDefault="00FC7FA5" w:rsidP="00FC7FA5">
            <w:pPr>
              <w:rPr>
                <w:sz w:val="24"/>
              </w:rPr>
            </w:pPr>
            <w:r>
              <w:rPr>
                <w:sz w:val="24"/>
              </w:rPr>
              <w:t>Locational Arbitrage</w:t>
            </w:r>
          </w:p>
          <w:p w14:paraId="1D530AC4" w14:textId="77777777" w:rsidR="00FC7FA5" w:rsidRDefault="00FC7FA5" w:rsidP="00FC7FA5">
            <w:pPr>
              <w:rPr>
                <w:sz w:val="24"/>
              </w:rPr>
            </w:pPr>
            <w:r>
              <w:rPr>
                <w:sz w:val="24"/>
              </w:rPr>
              <w:t>Absolute Purchasing Power Parity</w:t>
            </w:r>
          </w:p>
          <w:p w14:paraId="023D4E0F" w14:textId="7899E3B3" w:rsidR="00FC7FA5" w:rsidRDefault="00FC7FA5" w:rsidP="00FC7FA5">
            <w:pPr>
              <w:rPr>
                <w:sz w:val="24"/>
              </w:rPr>
            </w:pPr>
            <w:r>
              <w:rPr>
                <w:sz w:val="24"/>
              </w:rPr>
              <w:t>Inflation</w:t>
            </w:r>
          </w:p>
          <w:p w14:paraId="04E853DE" w14:textId="77777777" w:rsidR="00FC7FA5" w:rsidRDefault="00FC7FA5" w:rsidP="00FC7FA5">
            <w:pPr>
              <w:rPr>
                <w:sz w:val="24"/>
              </w:rPr>
            </w:pPr>
            <w:r>
              <w:rPr>
                <w:sz w:val="24"/>
              </w:rPr>
              <w:t>Relative Purchasing Power Parity</w:t>
            </w:r>
          </w:p>
          <w:p w14:paraId="5FE62AE3" w14:textId="77777777" w:rsidR="00294BEA" w:rsidRPr="000F45BF" w:rsidRDefault="00294BEA" w:rsidP="00387741">
            <w:pPr>
              <w:rPr>
                <w:sz w:val="24"/>
              </w:rPr>
            </w:pPr>
          </w:p>
        </w:tc>
      </w:tr>
      <w:tr w:rsidR="00294BEA" w14:paraId="5CFB215B" w14:textId="77777777" w:rsidTr="000767C1">
        <w:tc>
          <w:tcPr>
            <w:tcW w:w="1458" w:type="dxa"/>
            <w:shd w:val="clear" w:color="auto" w:fill="auto"/>
          </w:tcPr>
          <w:p w14:paraId="03FEAA1F" w14:textId="04A8CF30" w:rsidR="00A27220" w:rsidRDefault="006F3B1D" w:rsidP="00294BEA">
            <w:pPr>
              <w:jc w:val="center"/>
              <w:rPr>
                <w:sz w:val="24"/>
              </w:rPr>
            </w:pPr>
            <w:r>
              <w:rPr>
                <w:sz w:val="24"/>
              </w:rPr>
              <w:t>Wednesday</w:t>
            </w:r>
          </w:p>
          <w:p w14:paraId="5BD1224E" w14:textId="77777777" w:rsidR="00294BEA" w:rsidRPr="000F45BF" w:rsidRDefault="00294BEA" w:rsidP="00294BEA">
            <w:pPr>
              <w:jc w:val="center"/>
              <w:rPr>
                <w:sz w:val="24"/>
              </w:rPr>
            </w:pPr>
          </w:p>
        </w:tc>
        <w:tc>
          <w:tcPr>
            <w:tcW w:w="7470" w:type="dxa"/>
            <w:shd w:val="clear" w:color="auto" w:fill="auto"/>
          </w:tcPr>
          <w:p w14:paraId="011DE946" w14:textId="77777777" w:rsidR="00FC7FA5" w:rsidRDefault="00FC7FA5" w:rsidP="00FC7FA5">
            <w:pPr>
              <w:rPr>
                <w:sz w:val="24"/>
              </w:rPr>
            </w:pPr>
            <w:r>
              <w:rPr>
                <w:sz w:val="24"/>
              </w:rPr>
              <w:t>Exchange Rate Determination</w:t>
            </w:r>
          </w:p>
          <w:p w14:paraId="738ADB39" w14:textId="77777777" w:rsidR="00FC7FA5" w:rsidRDefault="00FC7FA5" w:rsidP="00FC7FA5">
            <w:pPr>
              <w:rPr>
                <w:sz w:val="24"/>
              </w:rPr>
            </w:pPr>
            <w:r>
              <w:rPr>
                <w:sz w:val="24"/>
              </w:rPr>
              <w:t>Forecasting Exchange Rates</w:t>
            </w:r>
          </w:p>
          <w:p w14:paraId="1FCA5BBE" w14:textId="3F18E895" w:rsidR="000767C1" w:rsidRDefault="006F3B1D" w:rsidP="006F3B1D">
            <w:pPr>
              <w:rPr>
                <w:sz w:val="24"/>
              </w:rPr>
            </w:pPr>
            <w:r>
              <w:rPr>
                <w:sz w:val="24"/>
              </w:rPr>
              <w:t>Hedging Transaction Exposure</w:t>
            </w:r>
          </w:p>
          <w:p w14:paraId="34BA0590" w14:textId="2032E547" w:rsidR="006F3B1D" w:rsidRDefault="006F3B1D" w:rsidP="006F3B1D">
            <w:pPr>
              <w:rPr>
                <w:sz w:val="24"/>
              </w:rPr>
            </w:pPr>
            <w:r>
              <w:rPr>
                <w:sz w:val="24"/>
              </w:rPr>
              <w:t>Currency Swaps</w:t>
            </w:r>
          </w:p>
          <w:p w14:paraId="2920737C" w14:textId="77777777" w:rsidR="006F3B1D" w:rsidRPr="000F45BF" w:rsidRDefault="006F3B1D" w:rsidP="006F3B1D">
            <w:pPr>
              <w:rPr>
                <w:sz w:val="24"/>
              </w:rPr>
            </w:pPr>
          </w:p>
        </w:tc>
      </w:tr>
      <w:tr w:rsidR="00387741" w14:paraId="748EF5AD" w14:textId="77777777" w:rsidTr="000767C1">
        <w:tc>
          <w:tcPr>
            <w:tcW w:w="1458" w:type="dxa"/>
            <w:shd w:val="clear" w:color="auto" w:fill="auto"/>
          </w:tcPr>
          <w:p w14:paraId="293B7A93" w14:textId="7EF004E6" w:rsidR="00387741" w:rsidRDefault="006F3B1D" w:rsidP="00294BEA">
            <w:pPr>
              <w:jc w:val="center"/>
              <w:rPr>
                <w:sz w:val="24"/>
              </w:rPr>
            </w:pPr>
            <w:r>
              <w:rPr>
                <w:sz w:val="24"/>
              </w:rPr>
              <w:t>Thursday</w:t>
            </w:r>
          </w:p>
          <w:p w14:paraId="69DA1D0F" w14:textId="77777777" w:rsidR="00387741" w:rsidRDefault="00387741" w:rsidP="00194164">
            <w:pPr>
              <w:rPr>
                <w:sz w:val="24"/>
              </w:rPr>
            </w:pPr>
          </w:p>
        </w:tc>
        <w:tc>
          <w:tcPr>
            <w:tcW w:w="7470" w:type="dxa"/>
            <w:shd w:val="clear" w:color="auto" w:fill="auto"/>
          </w:tcPr>
          <w:p w14:paraId="02DFF10B" w14:textId="0873634C" w:rsidR="00711266" w:rsidRDefault="006F3B1D" w:rsidP="00FC7FA5">
            <w:pPr>
              <w:rPr>
                <w:sz w:val="24"/>
              </w:rPr>
            </w:pPr>
            <w:r>
              <w:rPr>
                <w:sz w:val="24"/>
              </w:rPr>
              <w:t>Dozier Case</w:t>
            </w:r>
          </w:p>
          <w:p w14:paraId="35A536C5" w14:textId="146D01F3" w:rsidR="006F3B1D" w:rsidRDefault="006F3B1D" w:rsidP="00FC7FA5">
            <w:pPr>
              <w:rPr>
                <w:sz w:val="24"/>
              </w:rPr>
            </w:pPr>
            <w:r>
              <w:rPr>
                <w:sz w:val="24"/>
              </w:rPr>
              <w:t>Disney Case</w:t>
            </w:r>
          </w:p>
          <w:p w14:paraId="0A42DD09" w14:textId="6C10E15E" w:rsidR="006F3B1D" w:rsidRDefault="006F3B1D" w:rsidP="00FC7FA5">
            <w:pPr>
              <w:rPr>
                <w:sz w:val="24"/>
              </w:rPr>
            </w:pPr>
            <w:r>
              <w:rPr>
                <w:sz w:val="24"/>
              </w:rPr>
              <w:t>Diva Case</w:t>
            </w:r>
          </w:p>
          <w:p w14:paraId="228E0F2E" w14:textId="2DA10AC7" w:rsidR="006F3B1D" w:rsidRDefault="006F3B1D" w:rsidP="00FC7FA5">
            <w:pPr>
              <w:rPr>
                <w:sz w:val="24"/>
              </w:rPr>
            </w:pPr>
            <w:r>
              <w:rPr>
                <w:sz w:val="24"/>
              </w:rPr>
              <w:t>Am I Diversified? Spreadsheet</w:t>
            </w:r>
          </w:p>
          <w:p w14:paraId="642EDADB" w14:textId="77777777" w:rsidR="00FC7FA5" w:rsidRDefault="00FC7FA5" w:rsidP="00FC7FA5">
            <w:pPr>
              <w:rPr>
                <w:sz w:val="24"/>
              </w:rPr>
            </w:pPr>
          </w:p>
        </w:tc>
      </w:tr>
      <w:tr w:rsidR="00294BEA" w14:paraId="4A28DB66" w14:textId="77777777" w:rsidTr="000767C1">
        <w:tc>
          <w:tcPr>
            <w:tcW w:w="1458" w:type="dxa"/>
            <w:shd w:val="clear" w:color="auto" w:fill="auto"/>
          </w:tcPr>
          <w:p w14:paraId="2B73D0D4" w14:textId="1E5DCFBD" w:rsidR="00A27220" w:rsidRDefault="006F3B1D" w:rsidP="00294BEA">
            <w:pPr>
              <w:jc w:val="center"/>
              <w:rPr>
                <w:sz w:val="24"/>
              </w:rPr>
            </w:pPr>
            <w:r>
              <w:rPr>
                <w:sz w:val="24"/>
              </w:rPr>
              <w:t>Friday</w:t>
            </w:r>
          </w:p>
          <w:p w14:paraId="151F2CE9" w14:textId="77777777" w:rsidR="00294BEA" w:rsidRPr="000F45BF" w:rsidRDefault="00294BEA" w:rsidP="00294BEA">
            <w:pPr>
              <w:jc w:val="center"/>
              <w:rPr>
                <w:sz w:val="24"/>
              </w:rPr>
            </w:pPr>
          </w:p>
        </w:tc>
        <w:tc>
          <w:tcPr>
            <w:tcW w:w="7470" w:type="dxa"/>
            <w:shd w:val="clear" w:color="auto" w:fill="auto"/>
          </w:tcPr>
          <w:p w14:paraId="0F2DCD0D" w14:textId="074E1268" w:rsidR="00194164" w:rsidRDefault="006F3B1D" w:rsidP="00194164">
            <w:pPr>
              <w:rPr>
                <w:sz w:val="24"/>
              </w:rPr>
            </w:pPr>
            <w:r>
              <w:rPr>
                <w:sz w:val="24"/>
              </w:rPr>
              <w:t>Carrefour Case</w:t>
            </w:r>
          </w:p>
          <w:p w14:paraId="74E33B7B" w14:textId="307D6170" w:rsidR="006F3B1D" w:rsidRDefault="006F3B1D" w:rsidP="00194164">
            <w:pPr>
              <w:rPr>
                <w:sz w:val="24"/>
              </w:rPr>
            </w:pPr>
            <w:r>
              <w:rPr>
                <w:sz w:val="24"/>
              </w:rPr>
              <w:t>Emerson Case</w:t>
            </w:r>
          </w:p>
          <w:p w14:paraId="5BC89DAE" w14:textId="6DDCBA89" w:rsidR="006F3B1D" w:rsidRDefault="006F3B1D" w:rsidP="00194164">
            <w:pPr>
              <w:rPr>
                <w:sz w:val="24"/>
              </w:rPr>
            </w:pPr>
            <w:r>
              <w:rPr>
                <w:sz w:val="24"/>
              </w:rPr>
              <w:t>Ibersnacks Case</w:t>
            </w:r>
          </w:p>
          <w:p w14:paraId="17FEF3DF" w14:textId="1D6DFBD3" w:rsidR="00AB1B0F" w:rsidRDefault="00AB1B0F" w:rsidP="00194164">
            <w:pPr>
              <w:rPr>
                <w:sz w:val="24"/>
              </w:rPr>
            </w:pPr>
            <w:r>
              <w:rPr>
                <w:sz w:val="24"/>
              </w:rPr>
              <w:t>Investing Globally</w:t>
            </w:r>
          </w:p>
          <w:p w14:paraId="6B58563D" w14:textId="03077AED" w:rsidR="006F3B1D" w:rsidRDefault="006F3B1D" w:rsidP="00194164">
            <w:pPr>
              <w:rPr>
                <w:sz w:val="24"/>
              </w:rPr>
            </w:pPr>
            <w:r>
              <w:rPr>
                <w:sz w:val="24"/>
              </w:rPr>
              <w:t>Finding the Efficient Frontie</w:t>
            </w:r>
            <w:r w:rsidR="00AB1B0F">
              <w:rPr>
                <w:sz w:val="24"/>
              </w:rPr>
              <w:t>r Spreadsheet</w:t>
            </w:r>
            <w:r>
              <w:rPr>
                <w:sz w:val="24"/>
              </w:rPr>
              <w:t xml:space="preserve"> </w:t>
            </w:r>
          </w:p>
          <w:p w14:paraId="6B201DEC" w14:textId="77777777" w:rsidR="000767C1" w:rsidRPr="000F45BF" w:rsidRDefault="000767C1" w:rsidP="00194164">
            <w:pPr>
              <w:rPr>
                <w:sz w:val="24"/>
              </w:rPr>
            </w:pPr>
          </w:p>
        </w:tc>
      </w:tr>
    </w:tbl>
    <w:p w14:paraId="38CC6B56" w14:textId="77777777" w:rsidR="00FC456A" w:rsidRDefault="00FC456A" w:rsidP="00CF6691"/>
    <w:sectPr w:rsidR="00FC456A" w:rsidSect="00C73EDE">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A5467"/>
    <w:multiLevelType w:val="hybridMultilevel"/>
    <w:tmpl w:val="9124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263A78"/>
    <w:multiLevelType w:val="hybridMultilevel"/>
    <w:tmpl w:val="9AE48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9671524">
    <w:abstractNumId w:val="0"/>
  </w:num>
  <w:num w:numId="2" w16cid:durableId="845831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D72"/>
    <w:rsid w:val="00021586"/>
    <w:rsid w:val="000327B4"/>
    <w:rsid w:val="000708FC"/>
    <w:rsid w:val="000767C1"/>
    <w:rsid w:val="000C0B9E"/>
    <w:rsid w:val="000D46B4"/>
    <w:rsid w:val="00106AE3"/>
    <w:rsid w:val="0011324B"/>
    <w:rsid w:val="00132D72"/>
    <w:rsid w:val="00162E31"/>
    <w:rsid w:val="00190E01"/>
    <w:rsid w:val="0019163F"/>
    <w:rsid w:val="00194164"/>
    <w:rsid w:val="001A1421"/>
    <w:rsid w:val="001C2DC5"/>
    <w:rsid w:val="00225712"/>
    <w:rsid w:val="00230C2B"/>
    <w:rsid w:val="002563F7"/>
    <w:rsid w:val="002706B9"/>
    <w:rsid w:val="00294BEA"/>
    <w:rsid w:val="002B3A8D"/>
    <w:rsid w:val="002D3059"/>
    <w:rsid w:val="00322DB9"/>
    <w:rsid w:val="003339A2"/>
    <w:rsid w:val="003351E0"/>
    <w:rsid w:val="00354C39"/>
    <w:rsid w:val="00365C3A"/>
    <w:rsid w:val="00373D52"/>
    <w:rsid w:val="003844D9"/>
    <w:rsid w:val="00387741"/>
    <w:rsid w:val="003941FF"/>
    <w:rsid w:val="00394C3E"/>
    <w:rsid w:val="003A5822"/>
    <w:rsid w:val="003B42D6"/>
    <w:rsid w:val="003C0428"/>
    <w:rsid w:val="003E6207"/>
    <w:rsid w:val="003F7C72"/>
    <w:rsid w:val="00410881"/>
    <w:rsid w:val="0046102B"/>
    <w:rsid w:val="00463EFB"/>
    <w:rsid w:val="00477BAB"/>
    <w:rsid w:val="00480F2F"/>
    <w:rsid w:val="004A1855"/>
    <w:rsid w:val="004C3FD8"/>
    <w:rsid w:val="004C7F1B"/>
    <w:rsid w:val="00510D5F"/>
    <w:rsid w:val="005225E0"/>
    <w:rsid w:val="0052260B"/>
    <w:rsid w:val="00523BD7"/>
    <w:rsid w:val="005325FF"/>
    <w:rsid w:val="00543264"/>
    <w:rsid w:val="00564576"/>
    <w:rsid w:val="00572C54"/>
    <w:rsid w:val="005A472D"/>
    <w:rsid w:val="005A78D4"/>
    <w:rsid w:val="005E54C7"/>
    <w:rsid w:val="00605DDF"/>
    <w:rsid w:val="00616C9B"/>
    <w:rsid w:val="006366BC"/>
    <w:rsid w:val="006D6750"/>
    <w:rsid w:val="006F3B1D"/>
    <w:rsid w:val="00711266"/>
    <w:rsid w:val="00716FED"/>
    <w:rsid w:val="00732DCB"/>
    <w:rsid w:val="00760C6B"/>
    <w:rsid w:val="007C60B0"/>
    <w:rsid w:val="007F796D"/>
    <w:rsid w:val="0081051A"/>
    <w:rsid w:val="00834ADA"/>
    <w:rsid w:val="00836597"/>
    <w:rsid w:val="00860A12"/>
    <w:rsid w:val="008C0548"/>
    <w:rsid w:val="008F7B9D"/>
    <w:rsid w:val="00977F7B"/>
    <w:rsid w:val="009D25EA"/>
    <w:rsid w:val="009E1112"/>
    <w:rsid w:val="00A074A8"/>
    <w:rsid w:val="00A11386"/>
    <w:rsid w:val="00A17843"/>
    <w:rsid w:val="00A27220"/>
    <w:rsid w:val="00A50695"/>
    <w:rsid w:val="00A54A32"/>
    <w:rsid w:val="00A61634"/>
    <w:rsid w:val="00A830B9"/>
    <w:rsid w:val="00A91E57"/>
    <w:rsid w:val="00AA2C53"/>
    <w:rsid w:val="00AB1B0F"/>
    <w:rsid w:val="00AC6A63"/>
    <w:rsid w:val="00B22D0A"/>
    <w:rsid w:val="00B4095D"/>
    <w:rsid w:val="00BF5568"/>
    <w:rsid w:val="00C060BE"/>
    <w:rsid w:val="00C73EDE"/>
    <w:rsid w:val="00CA3621"/>
    <w:rsid w:val="00CE6173"/>
    <w:rsid w:val="00CF6691"/>
    <w:rsid w:val="00CF72D1"/>
    <w:rsid w:val="00D236E1"/>
    <w:rsid w:val="00D2532A"/>
    <w:rsid w:val="00D416A8"/>
    <w:rsid w:val="00D51586"/>
    <w:rsid w:val="00E0121D"/>
    <w:rsid w:val="00E14D8F"/>
    <w:rsid w:val="00E60F5A"/>
    <w:rsid w:val="00E6261F"/>
    <w:rsid w:val="00E65D3F"/>
    <w:rsid w:val="00E70949"/>
    <w:rsid w:val="00E74225"/>
    <w:rsid w:val="00EB1F7C"/>
    <w:rsid w:val="00ED549D"/>
    <w:rsid w:val="00EE26DB"/>
    <w:rsid w:val="00EE29FE"/>
    <w:rsid w:val="00EF2209"/>
    <w:rsid w:val="00F061E1"/>
    <w:rsid w:val="00FA31D0"/>
    <w:rsid w:val="00FA4189"/>
    <w:rsid w:val="00FC456A"/>
    <w:rsid w:val="00FC7FA5"/>
    <w:rsid w:val="00FD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6BCD"/>
  <w15:docId w15:val="{A41F3A88-53CF-421F-B231-8389E033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D72"/>
    <w:rPr>
      <w:rFonts w:eastAsia="Times New Roman"/>
    </w:rPr>
  </w:style>
  <w:style w:type="paragraph" w:styleId="Heading1">
    <w:name w:val="heading 1"/>
    <w:basedOn w:val="Normal"/>
    <w:next w:val="Normal"/>
    <w:link w:val="Heading1Char"/>
    <w:qFormat/>
    <w:rsid w:val="00132D72"/>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74225"/>
    <w:rPr>
      <w:sz w:val="24"/>
      <w:szCs w:val="24"/>
    </w:rPr>
  </w:style>
  <w:style w:type="character" w:customStyle="1" w:styleId="Heading1Char">
    <w:name w:val="Heading 1 Char"/>
    <w:link w:val="Heading1"/>
    <w:rsid w:val="00132D72"/>
    <w:rPr>
      <w:rFonts w:eastAsia="Times New Roman"/>
      <w:szCs w:val="20"/>
    </w:rPr>
  </w:style>
  <w:style w:type="paragraph" w:styleId="Title">
    <w:name w:val="Title"/>
    <w:basedOn w:val="Normal"/>
    <w:link w:val="TitleChar"/>
    <w:qFormat/>
    <w:rsid w:val="00132D72"/>
    <w:pPr>
      <w:jc w:val="center"/>
    </w:pPr>
    <w:rPr>
      <w:sz w:val="24"/>
    </w:rPr>
  </w:style>
  <w:style w:type="character" w:customStyle="1" w:styleId="TitleChar">
    <w:name w:val="Title Char"/>
    <w:link w:val="Title"/>
    <w:rsid w:val="00132D72"/>
    <w:rPr>
      <w:rFonts w:eastAsia="Times New Roman"/>
      <w:szCs w:val="20"/>
    </w:rPr>
  </w:style>
  <w:style w:type="paragraph" w:styleId="BodyTextIndent">
    <w:name w:val="Body Text Indent"/>
    <w:basedOn w:val="Normal"/>
    <w:link w:val="BodyTextIndentChar"/>
    <w:rsid w:val="00132D72"/>
    <w:pPr>
      <w:ind w:left="2160"/>
    </w:pPr>
    <w:rPr>
      <w:sz w:val="24"/>
    </w:rPr>
  </w:style>
  <w:style w:type="character" w:customStyle="1" w:styleId="BodyTextIndentChar">
    <w:name w:val="Body Text Indent Char"/>
    <w:link w:val="BodyTextIndent"/>
    <w:rsid w:val="00132D72"/>
    <w:rPr>
      <w:rFonts w:eastAsia="Times New Roman"/>
      <w:szCs w:val="20"/>
    </w:rPr>
  </w:style>
  <w:style w:type="paragraph" w:styleId="BodyTextIndent2">
    <w:name w:val="Body Text Indent 2"/>
    <w:basedOn w:val="Normal"/>
    <w:link w:val="BodyTextIndent2Char"/>
    <w:rsid w:val="00132D72"/>
    <w:pPr>
      <w:ind w:left="2160" w:hanging="2160"/>
    </w:pPr>
    <w:rPr>
      <w:sz w:val="24"/>
    </w:rPr>
  </w:style>
  <w:style w:type="character" w:customStyle="1" w:styleId="BodyTextIndent2Char">
    <w:name w:val="Body Text Indent 2 Char"/>
    <w:link w:val="BodyTextIndent2"/>
    <w:rsid w:val="00132D72"/>
    <w:rPr>
      <w:rFonts w:eastAsia="Times New Roman"/>
      <w:szCs w:val="20"/>
    </w:rPr>
  </w:style>
  <w:style w:type="character" w:styleId="Hyperlink">
    <w:name w:val="Hyperlink"/>
    <w:rsid w:val="00132D72"/>
    <w:rPr>
      <w:color w:val="0000FF"/>
      <w:u w:val="single"/>
    </w:rPr>
  </w:style>
  <w:style w:type="paragraph" w:styleId="BalloonText">
    <w:name w:val="Balloon Text"/>
    <w:basedOn w:val="Normal"/>
    <w:link w:val="BalloonTextChar"/>
    <w:uiPriority w:val="99"/>
    <w:semiHidden/>
    <w:unhideWhenUsed/>
    <w:rsid w:val="00CF72D1"/>
    <w:rPr>
      <w:rFonts w:ascii="Tahoma" w:hAnsi="Tahoma" w:cs="Tahoma"/>
      <w:sz w:val="16"/>
      <w:szCs w:val="16"/>
    </w:rPr>
  </w:style>
  <w:style w:type="character" w:customStyle="1" w:styleId="BalloonTextChar">
    <w:name w:val="Balloon Text Char"/>
    <w:link w:val="BalloonText"/>
    <w:uiPriority w:val="99"/>
    <w:semiHidden/>
    <w:rsid w:val="00CF72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15776">
      <w:bodyDiv w:val="1"/>
      <w:marLeft w:val="0"/>
      <w:marRight w:val="0"/>
      <w:marTop w:val="0"/>
      <w:marBottom w:val="0"/>
      <w:divBdr>
        <w:top w:val="none" w:sz="0" w:space="0" w:color="auto"/>
        <w:left w:val="none" w:sz="0" w:space="0" w:color="auto"/>
        <w:bottom w:val="none" w:sz="0" w:space="0" w:color="auto"/>
        <w:right w:val="none" w:sz="0" w:space="0" w:color="auto"/>
      </w:divBdr>
    </w:div>
    <w:div w:id="156756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eesefine7150.tulan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54B4F-EF98-497E-9DF5-810294E4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Links>
    <vt:vector size="24" baseType="variant">
      <vt:variant>
        <vt:i4>4128807</vt:i4>
      </vt:variant>
      <vt:variant>
        <vt:i4>9</vt:i4>
      </vt:variant>
      <vt:variant>
        <vt:i4>0</vt:i4>
      </vt:variant>
      <vt:variant>
        <vt:i4>5</vt:i4>
      </vt:variant>
      <vt:variant>
        <vt:lpwstr>http://erc.tulane.edu/disability/index.html</vt:lpwstr>
      </vt:variant>
      <vt:variant>
        <vt:lpwstr/>
      </vt:variant>
      <vt:variant>
        <vt:i4>1769543</vt:i4>
      </vt:variant>
      <vt:variant>
        <vt:i4>6</vt:i4>
      </vt:variant>
      <vt:variant>
        <vt:i4>0</vt:i4>
      </vt:variant>
      <vt:variant>
        <vt:i4>5</vt:i4>
      </vt:variant>
      <vt:variant>
        <vt:lpwstr>http://studentconduct.tulane.edu/</vt:lpwstr>
      </vt:variant>
      <vt:variant>
        <vt:lpwstr/>
      </vt:variant>
      <vt:variant>
        <vt:i4>5963854</vt:i4>
      </vt:variant>
      <vt:variant>
        <vt:i4>3</vt:i4>
      </vt:variant>
      <vt:variant>
        <vt:i4>0</vt:i4>
      </vt:variant>
      <vt:variant>
        <vt:i4>5</vt:i4>
      </vt:variant>
      <vt:variant>
        <vt:lpwstr>http://tulane.edu/provost/upload/Unified_Code_of_GS_Academic_Conduct_11-14-07.pdf</vt:lpwstr>
      </vt:variant>
      <vt:variant>
        <vt:lpwstr/>
      </vt:variant>
      <vt:variant>
        <vt:i4>4456536</vt:i4>
      </vt:variant>
      <vt:variant>
        <vt:i4>0</vt:i4>
      </vt:variant>
      <vt:variant>
        <vt:i4>0</vt:i4>
      </vt:variant>
      <vt:variant>
        <vt:i4>5</vt:i4>
      </vt:variant>
      <vt:variant>
        <vt:lpwstr>http://info.freeman.tulane.edu/breese714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Reese, William A</cp:lastModifiedBy>
  <cp:revision>3</cp:revision>
  <cp:lastPrinted>2024-04-19T23:56:00Z</cp:lastPrinted>
  <dcterms:created xsi:type="dcterms:W3CDTF">2024-04-19T20:56:00Z</dcterms:created>
  <dcterms:modified xsi:type="dcterms:W3CDTF">2024-04-20T00:04:00Z</dcterms:modified>
</cp:coreProperties>
</file>